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8F88A" w14:textId="77777777" w:rsidR="00A50045" w:rsidRPr="00541ECD" w:rsidRDefault="00A50045" w:rsidP="00A50045">
      <w:pPr>
        <w:rPr>
          <w:rFonts w:ascii="Arial" w:hAnsi="Arial" w:cs="Arial"/>
        </w:rPr>
      </w:pPr>
      <w:r w:rsidRPr="00541ECD">
        <w:rPr>
          <w:rFonts w:ascii="Arial" w:hAnsi="Arial" w:cs="Arial"/>
        </w:rPr>
        <w:t>Memo to:</w:t>
      </w:r>
      <w:r w:rsidRPr="00541ECD">
        <w:rPr>
          <w:rFonts w:ascii="Arial" w:hAnsi="Arial" w:cs="Arial"/>
        </w:rPr>
        <w:tab/>
        <w:t>I.A.T.S.E. National Pension Fund (the “Plan”) Contributing Employers</w:t>
      </w:r>
    </w:p>
    <w:p w14:paraId="4093B2DB" w14:textId="77777777" w:rsidR="00A50045" w:rsidRPr="00541ECD" w:rsidRDefault="00A50045" w:rsidP="00A50045">
      <w:pPr>
        <w:rPr>
          <w:rFonts w:ascii="Arial" w:hAnsi="Arial" w:cs="Arial"/>
        </w:rPr>
      </w:pPr>
      <w:r w:rsidRPr="00541ECD">
        <w:rPr>
          <w:rFonts w:ascii="Arial" w:hAnsi="Arial" w:cs="Arial"/>
        </w:rPr>
        <w:t>Re:</w:t>
      </w:r>
      <w:r w:rsidRPr="00541ECD">
        <w:rPr>
          <w:rFonts w:ascii="Arial" w:hAnsi="Arial" w:cs="Arial"/>
        </w:rPr>
        <w:tab/>
      </w:r>
      <w:r w:rsidRPr="00541ECD">
        <w:rPr>
          <w:rFonts w:ascii="Arial" w:hAnsi="Arial" w:cs="Arial"/>
        </w:rPr>
        <w:tab/>
      </w:r>
      <w:r w:rsidR="00F021AD" w:rsidRPr="00541ECD">
        <w:rPr>
          <w:rFonts w:ascii="Arial" w:hAnsi="Arial" w:cs="Arial"/>
        </w:rPr>
        <w:t xml:space="preserve">FASB </w:t>
      </w:r>
      <w:r w:rsidRPr="00541ECD">
        <w:rPr>
          <w:rFonts w:ascii="Arial" w:hAnsi="Arial" w:cs="Arial"/>
        </w:rPr>
        <w:t>Financial statement disclosures</w:t>
      </w:r>
      <w:r w:rsidR="00F021AD" w:rsidRPr="00541ECD">
        <w:rPr>
          <w:rFonts w:ascii="Arial" w:hAnsi="Arial" w:cs="Arial"/>
        </w:rPr>
        <w:t xml:space="preserve"> </w:t>
      </w:r>
    </w:p>
    <w:p w14:paraId="7D41449C" w14:textId="7BC0BBCB" w:rsidR="00A50045" w:rsidRPr="00541ECD" w:rsidRDefault="00A50045" w:rsidP="00A50045">
      <w:pPr>
        <w:rPr>
          <w:rFonts w:ascii="Arial" w:hAnsi="Arial" w:cs="Arial"/>
        </w:rPr>
      </w:pPr>
      <w:r w:rsidRPr="00541ECD">
        <w:rPr>
          <w:rFonts w:ascii="Arial" w:hAnsi="Arial" w:cs="Arial"/>
        </w:rPr>
        <w:t>Date:</w:t>
      </w:r>
      <w:r w:rsidRPr="00541ECD">
        <w:rPr>
          <w:rFonts w:ascii="Arial" w:hAnsi="Arial" w:cs="Arial"/>
        </w:rPr>
        <w:tab/>
      </w:r>
      <w:r w:rsidRPr="00541ECD">
        <w:rPr>
          <w:rFonts w:ascii="Arial" w:hAnsi="Arial" w:cs="Arial"/>
        </w:rPr>
        <w:tab/>
      </w:r>
      <w:r w:rsidR="00F60A67">
        <w:rPr>
          <w:rFonts w:ascii="Arial" w:hAnsi="Arial" w:cs="Arial"/>
        </w:rPr>
        <w:t>June 26, 2024</w:t>
      </w:r>
    </w:p>
    <w:p w14:paraId="4BF218B2" w14:textId="77777777" w:rsidR="00A50045" w:rsidRPr="00541ECD" w:rsidRDefault="00A50045" w:rsidP="00A50045">
      <w:pPr>
        <w:rPr>
          <w:rFonts w:ascii="Arial" w:hAnsi="Arial" w:cs="Arial"/>
        </w:rPr>
      </w:pPr>
      <w:r w:rsidRPr="00541ECD">
        <w:rPr>
          <w:rFonts w:ascii="Arial" w:hAnsi="Arial" w:cs="Arial"/>
        </w:rPr>
        <w:t>From:</w:t>
      </w:r>
      <w:r w:rsidRPr="00541ECD">
        <w:rPr>
          <w:rFonts w:ascii="Arial" w:hAnsi="Arial" w:cs="Arial"/>
        </w:rPr>
        <w:tab/>
      </w:r>
      <w:r w:rsidRPr="00541ECD">
        <w:rPr>
          <w:rFonts w:ascii="Arial" w:hAnsi="Arial" w:cs="Arial"/>
        </w:rPr>
        <w:tab/>
        <w:t>Anne J. Zeisler, Executive Director</w:t>
      </w:r>
    </w:p>
    <w:p w14:paraId="3560CE04" w14:textId="77777777" w:rsidR="007C5FE2" w:rsidRDefault="009C3D98" w:rsidP="00853A24">
      <w:pPr>
        <w:pStyle w:val="NoSpacing"/>
        <w:jc w:val="both"/>
        <w:rPr>
          <w:rFonts w:ascii="Arial" w:hAnsi="Arial" w:cs="Arial"/>
        </w:rPr>
      </w:pPr>
      <w:r w:rsidRPr="00853A24">
        <w:rPr>
          <w:rFonts w:ascii="Arial" w:hAnsi="Arial" w:cs="Arial"/>
        </w:rPr>
        <w:t>The Financial Accounting Standards Board (FASB) increased disclosure requirements for certain employers contributing to multiemployer pension plans.  The purpose of this memo is to provide contributing employers to the Plan with information (below) that will assist them in complying with the enhanced disclosure requirements.  Nevertheless, compliance with FASB requirements remains an obligation of the employer and this memorandum is not intended as advice or guidance regarding that obligation.</w:t>
      </w:r>
    </w:p>
    <w:p w14:paraId="277B5A89" w14:textId="1F3AFF4C" w:rsidR="009C3D98" w:rsidRPr="00853A24" w:rsidRDefault="009C3D98" w:rsidP="00853A24">
      <w:pPr>
        <w:pStyle w:val="NoSpacing"/>
        <w:jc w:val="both"/>
        <w:rPr>
          <w:rFonts w:ascii="Arial" w:hAnsi="Arial" w:cs="Arial"/>
        </w:rPr>
      </w:pPr>
      <w:r w:rsidRPr="00853A24">
        <w:rPr>
          <w:rFonts w:ascii="Arial" w:hAnsi="Arial" w:cs="Arial"/>
        </w:rPr>
        <w:t xml:space="preserve"> </w:t>
      </w:r>
    </w:p>
    <w:tbl>
      <w:tblPr>
        <w:tblStyle w:val="TableGrid"/>
        <w:tblW w:w="0" w:type="auto"/>
        <w:tblInd w:w="108" w:type="dxa"/>
        <w:tblLook w:val="04A0" w:firstRow="1" w:lastRow="0" w:firstColumn="1" w:lastColumn="0" w:noHBand="0" w:noVBand="1"/>
      </w:tblPr>
      <w:tblGrid>
        <w:gridCol w:w="3757"/>
        <w:gridCol w:w="5485"/>
      </w:tblGrid>
      <w:tr w:rsidR="009C3D98" w:rsidRPr="00853A24" w14:paraId="7DAECB58" w14:textId="77777777" w:rsidTr="009C3D98">
        <w:tc>
          <w:tcPr>
            <w:tcW w:w="3757" w:type="dxa"/>
          </w:tcPr>
          <w:p w14:paraId="2B977219" w14:textId="77777777" w:rsidR="00F021AD" w:rsidRPr="00853A24" w:rsidRDefault="00F021AD" w:rsidP="00853A24">
            <w:pPr>
              <w:pStyle w:val="NoSpacing"/>
              <w:jc w:val="both"/>
              <w:rPr>
                <w:rFonts w:ascii="Arial" w:hAnsi="Arial" w:cs="Arial"/>
              </w:rPr>
            </w:pPr>
            <w:r w:rsidRPr="00853A24">
              <w:rPr>
                <w:rFonts w:ascii="Arial" w:hAnsi="Arial" w:cs="Arial"/>
              </w:rPr>
              <w:t>Legal Name of Plan:</w:t>
            </w:r>
          </w:p>
        </w:tc>
        <w:tc>
          <w:tcPr>
            <w:tcW w:w="5485" w:type="dxa"/>
          </w:tcPr>
          <w:p w14:paraId="6C0101CB" w14:textId="77777777" w:rsidR="00F021AD" w:rsidRPr="00853A24" w:rsidRDefault="00F021AD" w:rsidP="00853A24">
            <w:pPr>
              <w:pStyle w:val="NoSpacing"/>
              <w:jc w:val="both"/>
              <w:rPr>
                <w:rFonts w:ascii="Arial" w:hAnsi="Arial" w:cs="Arial"/>
                <w:b/>
              </w:rPr>
            </w:pPr>
            <w:r w:rsidRPr="00853A24">
              <w:rPr>
                <w:rFonts w:ascii="Arial" w:hAnsi="Arial" w:cs="Arial"/>
                <w:b/>
              </w:rPr>
              <w:t>I.A.T.S.E. NATIONAL PENSION FUND</w:t>
            </w:r>
          </w:p>
        </w:tc>
      </w:tr>
      <w:tr w:rsidR="009C3D98" w:rsidRPr="00853A24" w14:paraId="33B15099" w14:textId="77777777" w:rsidTr="009C3D98">
        <w:tc>
          <w:tcPr>
            <w:tcW w:w="3757" w:type="dxa"/>
          </w:tcPr>
          <w:p w14:paraId="35BBDFE3" w14:textId="77777777" w:rsidR="00F021AD" w:rsidRPr="00853A24" w:rsidRDefault="00F021AD" w:rsidP="00853A24">
            <w:pPr>
              <w:pStyle w:val="NoSpacing"/>
              <w:jc w:val="both"/>
              <w:rPr>
                <w:rFonts w:ascii="Arial" w:hAnsi="Arial" w:cs="Arial"/>
              </w:rPr>
            </w:pPr>
            <w:r w:rsidRPr="00853A24">
              <w:rPr>
                <w:rFonts w:ascii="Arial" w:hAnsi="Arial" w:cs="Arial"/>
              </w:rPr>
              <w:t>EIN/Plan Number:</w:t>
            </w:r>
          </w:p>
        </w:tc>
        <w:tc>
          <w:tcPr>
            <w:tcW w:w="5485" w:type="dxa"/>
          </w:tcPr>
          <w:p w14:paraId="0388D71E" w14:textId="77777777" w:rsidR="00F021AD" w:rsidRPr="00853A24" w:rsidRDefault="00F021AD" w:rsidP="00853A24">
            <w:pPr>
              <w:pStyle w:val="NoSpacing"/>
              <w:jc w:val="both"/>
              <w:rPr>
                <w:rFonts w:ascii="Arial" w:hAnsi="Arial" w:cs="Arial"/>
                <w:b/>
              </w:rPr>
            </w:pPr>
            <w:r w:rsidRPr="00853A24">
              <w:rPr>
                <w:rFonts w:ascii="Arial" w:hAnsi="Arial" w:cs="Arial"/>
                <w:b/>
              </w:rPr>
              <w:t>13-1849172/001</w:t>
            </w:r>
          </w:p>
        </w:tc>
      </w:tr>
      <w:tr w:rsidR="009C3D98" w:rsidRPr="00853A24" w14:paraId="31083732" w14:textId="77777777" w:rsidTr="009C3D98">
        <w:tc>
          <w:tcPr>
            <w:tcW w:w="3757" w:type="dxa"/>
          </w:tcPr>
          <w:p w14:paraId="346DC7FD" w14:textId="77777777" w:rsidR="00F021AD" w:rsidRPr="00853A24" w:rsidRDefault="00F021AD" w:rsidP="00853A24">
            <w:pPr>
              <w:pStyle w:val="NoSpacing"/>
              <w:jc w:val="both"/>
              <w:rPr>
                <w:rFonts w:ascii="Arial" w:hAnsi="Arial" w:cs="Arial"/>
              </w:rPr>
            </w:pPr>
            <w:r w:rsidRPr="00853A24">
              <w:rPr>
                <w:rFonts w:ascii="Arial" w:hAnsi="Arial" w:cs="Arial"/>
              </w:rPr>
              <w:t>Most recent certified zone status:</w:t>
            </w:r>
          </w:p>
        </w:tc>
        <w:tc>
          <w:tcPr>
            <w:tcW w:w="5485" w:type="dxa"/>
          </w:tcPr>
          <w:p w14:paraId="729DF68B" w14:textId="0E940798" w:rsidR="00F021AD" w:rsidRPr="00853A24" w:rsidRDefault="009C3D98" w:rsidP="00853A24">
            <w:pPr>
              <w:pStyle w:val="NoSpacing"/>
              <w:jc w:val="both"/>
              <w:rPr>
                <w:rFonts w:ascii="Arial" w:hAnsi="Arial" w:cs="Arial"/>
                <w:b/>
                <w:bCs/>
              </w:rPr>
            </w:pPr>
            <w:r w:rsidRPr="00853A24">
              <w:rPr>
                <w:rFonts w:ascii="Arial" w:hAnsi="Arial" w:cs="Arial"/>
                <w:b/>
                <w:bCs/>
              </w:rPr>
              <w:t>As of January 1, 202</w:t>
            </w:r>
            <w:r w:rsidR="00BC226D">
              <w:rPr>
                <w:rFonts w:ascii="Arial" w:hAnsi="Arial" w:cs="Arial"/>
                <w:b/>
                <w:bCs/>
              </w:rPr>
              <w:t>4</w:t>
            </w:r>
            <w:r w:rsidRPr="00853A24">
              <w:rPr>
                <w:rFonts w:ascii="Arial" w:hAnsi="Arial" w:cs="Arial"/>
                <w:b/>
                <w:bCs/>
              </w:rPr>
              <w:t xml:space="preserve"> – Green Zone – calculated without using any extended amortization provisions. Same zone status was certified for the year that began January 1, 202</w:t>
            </w:r>
            <w:r w:rsidR="00BC226D">
              <w:rPr>
                <w:rFonts w:ascii="Arial" w:hAnsi="Arial" w:cs="Arial"/>
                <w:b/>
                <w:bCs/>
              </w:rPr>
              <w:t>3</w:t>
            </w:r>
            <w:r w:rsidRPr="00853A24">
              <w:rPr>
                <w:rFonts w:ascii="Arial" w:hAnsi="Arial" w:cs="Arial"/>
                <w:b/>
                <w:bCs/>
              </w:rPr>
              <w:t>.</w:t>
            </w:r>
          </w:p>
        </w:tc>
      </w:tr>
      <w:tr w:rsidR="009C3D98" w:rsidRPr="00853A24" w14:paraId="3B13B7FA" w14:textId="77777777" w:rsidTr="009C3D98">
        <w:tc>
          <w:tcPr>
            <w:tcW w:w="3757" w:type="dxa"/>
          </w:tcPr>
          <w:p w14:paraId="7D4A822C" w14:textId="77777777" w:rsidR="00F021AD" w:rsidRPr="00853A24" w:rsidRDefault="00F021AD" w:rsidP="00853A24">
            <w:pPr>
              <w:pStyle w:val="NoSpacing"/>
              <w:jc w:val="both"/>
              <w:rPr>
                <w:rFonts w:ascii="Arial" w:hAnsi="Arial" w:cs="Arial"/>
              </w:rPr>
            </w:pPr>
            <w:r w:rsidRPr="00853A24">
              <w:rPr>
                <w:rFonts w:ascii="Arial" w:hAnsi="Arial" w:cs="Arial"/>
              </w:rPr>
              <w:t>Funding improvement plan:</w:t>
            </w:r>
          </w:p>
        </w:tc>
        <w:tc>
          <w:tcPr>
            <w:tcW w:w="5485" w:type="dxa"/>
          </w:tcPr>
          <w:p w14:paraId="2E70DE7A" w14:textId="77777777" w:rsidR="00F021AD" w:rsidRPr="00853A24" w:rsidRDefault="00F021AD" w:rsidP="00853A24">
            <w:pPr>
              <w:pStyle w:val="NoSpacing"/>
              <w:jc w:val="both"/>
              <w:rPr>
                <w:rFonts w:ascii="Arial" w:hAnsi="Arial" w:cs="Arial"/>
                <w:b/>
              </w:rPr>
            </w:pPr>
            <w:r w:rsidRPr="00853A24">
              <w:rPr>
                <w:rFonts w:ascii="Arial" w:hAnsi="Arial" w:cs="Arial"/>
                <w:b/>
              </w:rPr>
              <w:t>None</w:t>
            </w:r>
            <w:r w:rsidR="00871C7B" w:rsidRPr="00853A24">
              <w:rPr>
                <w:rFonts w:ascii="Arial" w:hAnsi="Arial" w:cs="Arial"/>
                <w:b/>
              </w:rPr>
              <w:t>, because not required</w:t>
            </w:r>
          </w:p>
        </w:tc>
      </w:tr>
      <w:tr w:rsidR="009C3D98" w:rsidRPr="00853A24" w14:paraId="0F5780AE" w14:textId="77777777" w:rsidTr="009C3D98">
        <w:tc>
          <w:tcPr>
            <w:tcW w:w="3757" w:type="dxa"/>
          </w:tcPr>
          <w:p w14:paraId="7E85BA7F" w14:textId="77777777" w:rsidR="00F021AD" w:rsidRPr="00853A24" w:rsidRDefault="00F021AD" w:rsidP="00853A24">
            <w:pPr>
              <w:pStyle w:val="NoSpacing"/>
              <w:jc w:val="both"/>
              <w:rPr>
                <w:rFonts w:ascii="Arial" w:hAnsi="Arial" w:cs="Arial"/>
              </w:rPr>
            </w:pPr>
            <w:r w:rsidRPr="00853A24">
              <w:rPr>
                <w:rFonts w:ascii="Arial" w:hAnsi="Arial" w:cs="Arial"/>
              </w:rPr>
              <w:t>Rehabilitation plan:</w:t>
            </w:r>
          </w:p>
        </w:tc>
        <w:tc>
          <w:tcPr>
            <w:tcW w:w="5485" w:type="dxa"/>
          </w:tcPr>
          <w:p w14:paraId="6B50A1AE" w14:textId="77777777" w:rsidR="00F021AD" w:rsidRPr="00853A24" w:rsidRDefault="00F021AD" w:rsidP="00853A24">
            <w:pPr>
              <w:pStyle w:val="NoSpacing"/>
              <w:jc w:val="both"/>
              <w:rPr>
                <w:rFonts w:ascii="Arial" w:hAnsi="Arial" w:cs="Arial"/>
                <w:b/>
              </w:rPr>
            </w:pPr>
            <w:r w:rsidRPr="00853A24">
              <w:rPr>
                <w:rFonts w:ascii="Arial" w:hAnsi="Arial" w:cs="Arial"/>
                <w:b/>
              </w:rPr>
              <w:t>None</w:t>
            </w:r>
            <w:r w:rsidR="00871C7B" w:rsidRPr="00853A24">
              <w:rPr>
                <w:rFonts w:ascii="Arial" w:hAnsi="Arial" w:cs="Arial"/>
                <w:b/>
              </w:rPr>
              <w:t>, because not required</w:t>
            </w:r>
          </w:p>
        </w:tc>
      </w:tr>
      <w:tr w:rsidR="009C3D98" w:rsidRPr="00853A24" w14:paraId="44C07CFB" w14:textId="77777777" w:rsidTr="009C3D98">
        <w:tc>
          <w:tcPr>
            <w:tcW w:w="3757" w:type="dxa"/>
          </w:tcPr>
          <w:p w14:paraId="2AF05F6A" w14:textId="77777777" w:rsidR="00871C7B" w:rsidRPr="00853A24" w:rsidRDefault="00871C7B" w:rsidP="00853A24">
            <w:pPr>
              <w:pStyle w:val="NoSpacing"/>
              <w:jc w:val="both"/>
              <w:rPr>
                <w:rFonts w:ascii="Arial" w:hAnsi="Arial" w:cs="Arial"/>
              </w:rPr>
            </w:pPr>
            <w:r w:rsidRPr="00853A24">
              <w:rPr>
                <w:rFonts w:ascii="Arial" w:hAnsi="Arial" w:cs="Arial"/>
              </w:rPr>
              <w:t>Employer surcharge imposed or paid</w:t>
            </w:r>
          </w:p>
        </w:tc>
        <w:tc>
          <w:tcPr>
            <w:tcW w:w="5485" w:type="dxa"/>
          </w:tcPr>
          <w:p w14:paraId="628934EE" w14:textId="77777777" w:rsidR="00871C7B" w:rsidRPr="00853A24" w:rsidRDefault="00871C7B" w:rsidP="00853A24">
            <w:pPr>
              <w:pStyle w:val="NoSpacing"/>
              <w:jc w:val="both"/>
              <w:rPr>
                <w:rFonts w:ascii="Arial" w:hAnsi="Arial" w:cs="Arial"/>
                <w:b/>
              </w:rPr>
            </w:pPr>
            <w:r w:rsidRPr="00853A24">
              <w:rPr>
                <w:rFonts w:ascii="Arial" w:hAnsi="Arial" w:cs="Arial"/>
                <w:b/>
              </w:rPr>
              <w:t>None, because not required</w:t>
            </w:r>
          </w:p>
        </w:tc>
      </w:tr>
      <w:tr w:rsidR="009C3D98" w:rsidRPr="00853A24" w14:paraId="2128E512" w14:textId="77777777" w:rsidTr="009C3D98">
        <w:tc>
          <w:tcPr>
            <w:tcW w:w="3757" w:type="dxa"/>
          </w:tcPr>
          <w:p w14:paraId="27877FF4" w14:textId="77777777" w:rsidR="00871C7B" w:rsidRPr="00853A24" w:rsidRDefault="00871C7B" w:rsidP="00853A24">
            <w:pPr>
              <w:pStyle w:val="NoSpacing"/>
              <w:jc w:val="both"/>
              <w:rPr>
                <w:rFonts w:ascii="Arial" w:hAnsi="Arial" w:cs="Arial"/>
              </w:rPr>
            </w:pPr>
            <w:r w:rsidRPr="00853A24">
              <w:rPr>
                <w:rFonts w:ascii="Arial" w:hAnsi="Arial" w:cs="Arial"/>
              </w:rPr>
              <w:t xml:space="preserve">Estimated annual total contributions to the plan by all contributing employers </w:t>
            </w:r>
          </w:p>
        </w:tc>
        <w:tc>
          <w:tcPr>
            <w:tcW w:w="5485" w:type="dxa"/>
          </w:tcPr>
          <w:p w14:paraId="14447428" w14:textId="3EFAEBBF" w:rsidR="00871C7B" w:rsidRPr="00853A24" w:rsidRDefault="00392482" w:rsidP="00853A24">
            <w:pPr>
              <w:pStyle w:val="NoSpacing"/>
              <w:jc w:val="both"/>
              <w:rPr>
                <w:rFonts w:ascii="Arial" w:hAnsi="Arial" w:cs="Arial"/>
                <w:b/>
                <w:bCs/>
              </w:rPr>
            </w:pPr>
            <w:r w:rsidRPr="00853A24">
              <w:rPr>
                <w:rFonts w:ascii="Arial" w:hAnsi="Arial" w:cs="Arial"/>
                <w:b/>
                <w:bCs/>
              </w:rPr>
              <w:t>Plan year ended December 31, 20</w:t>
            </w:r>
            <w:r w:rsidR="001B3510" w:rsidRPr="00853A24">
              <w:rPr>
                <w:rFonts w:ascii="Arial" w:hAnsi="Arial" w:cs="Arial"/>
                <w:b/>
                <w:bCs/>
              </w:rPr>
              <w:t>2</w:t>
            </w:r>
            <w:r w:rsidR="00BC226D">
              <w:rPr>
                <w:rFonts w:ascii="Arial" w:hAnsi="Arial" w:cs="Arial"/>
                <w:b/>
                <w:bCs/>
              </w:rPr>
              <w:t>3</w:t>
            </w:r>
            <w:r w:rsidRPr="00853A24">
              <w:rPr>
                <w:rFonts w:ascii="Arial" w:hAnsi="Arial" w:cs="Arial"/>
                <w:b/>
                <w:bCs/>
              </w:rPr>
              <w:t xml:space="preserve"> – $</w:t>
            </w:r>
            <w:r w:rsidR="00BC226D">
              <w:rPr>
                <w:rFonts w:ascii="Arial" w:hAnsi="Arial" w:cs="Arial"/>
                <w:b/>
                <w:bCs/>
              </w:rPr>
              <w:t>28,748</w:t>
            </w:r>
            <w:r w:rsidR="0026442F" w:rsidRPr="00853A24">
              <w:rPr>
                <w:rFonts w:ascii="Arial" w:hAnsi="Arial" w:cs="Arial"/>
                <w:b/>
                <w:bCs/>
              </w:rPr>
              <w:t>,</w:t>
            </w:r>
            <w:r w:rsidR="001B3510" w:rsidRPr="00853A24">
              <w:rPr>
                <w:rFonts w:ascii="Arial" w:hAnsi="Arial" w:cs="Arial"/>
                <w:b/>
                <w:bCs/>
              </w:rPr>
              <w:t>000</w:t>
            </w:r>
            <w:r w:rsidRPr="00853A24">
              <w:rPr>
                <w:rFonts w:ascii="Arial" w:hAnsi="Arial" w:cs="Arial"/>
                <w:b/>
                <w:bCs/>
              </w:rPr>
              <w:t xml:space="preserve"> (unaudited)</w:t>
            </w:r>
          </w:p>
        </w:tc>
      </w:tr>
      <w:tr w:rsidR="009C3D98" w:rsidRPr="00853A24" w14:paraId="75BBF264" w14:textId="77777777" w:rsidTr="009C3D98">
        <w:tc>
          <w:tcPr>
            <w:tcW w:w="3757" w:type="dxa"/>
          </w:tcPr>
          <w:p w14:paraId="38E8A268" w14:textId="77777777" w:rsidR="00871C7B" w:rsidRPr="00853A24" w:rsidRDefault="00871C7B" w:rsidP="00853A24">
            <w:pPr>
              <w:pStyle w:val="NoSpacing"/>
              <w:jc w:val="both"/>
              <w:rPr>
                <w:rFonts w:ascii="Arial" w:hAnsi="Arial" w:cs="Arial"/>
              </w:rPr>
            </w:pPr>
            <w:r w:rsidRPr="00853A24">
              <w:rPr>
                <w:rFonts w:ascii="Arial" w:hAnsi="Arial" w:cs="Arial"/>
              </w:rPr>
              <w:t>Description of Plan:</w:t>
            </w:r>
          </w:p>
        </w:tc>
        <w:tc>
          <w:tcPr>
            <w:tcW w:w="5485" w:type="dxa"/>
          </w:tcPr>
          <w:p w14:paraId="4FAB3278" w14:textId="0EDFC8B0" w:rsidR="00871C7B" w:rsidRPr="00853A24" w:rsidRDefault="009C3D98" w:rsidP="00853A24">
            <w:pPr>
              <w:pStyle w:val="NoSpacing"/>
              <w:jc w:val="both"/>
              <w:rPr>
                <w:rFonts w:ascii="Arial" w:hAnsi="Arial" w:cs="Arial"/>
                <w:b/>
              </w:rPr>
            </w:pPr>
            <w:r w:rsidRPr="00853A24">
              <w:rPr>
                <w:rFonts w:ascii="Arial" w:hAnsi="Arial" w:cs="Arial"/>
                <w:b/>
                <w:bCs/>
              </w:rPr>
              <w:t>The Plan is a multiemployer defined benefit pension plan.  Plan assets are held in trust, the Plan is administered by a Board of Trustees, and Plan contributions are set by collective bargaining agreements between the International Alliance of Theatrical Stage Employees and Moving Picture Technicians, Artists and Allied Crafts of the United States and Canada and various employers and employer associations in the theatrical industry in the United States and Canada.  The Plan is subject to the provisions of the Employee Retirement Income Security Act of 1974 (ERISA) and qualified under section 401(a) of the Internal Revenue Code.</w:t>
            </w:r>
          </w:p>
        </w:tc>
      </w:tr>
      <w:tr w:rsidR="009C3D98" w:rsidRPr="00853A24" w14:paraId="01066D7E" w14:textId="77777777" w:rsidTr="009C3D98">
        <w:tc>
          <w:tcPr>
            <w:tcW w:w="3757" w:type="dxa"/>
          </w:tcPr>
          <w:p w14:paraId="464EED80" w14:textId="77777777" w:rsidR="00871C7B" w:rsidRPr="00853A24" w:rsidRDefault="00871C7B" w:rsidP="00853A24">
            <w:pPr>
              <w:pStyle w:val="NoSpacing"/>
              <w:jc w:val="both"/>
              <w:rPr>
                <w:rFonts w:ascii="Arial" w:hAnsi="Arial" w:cs="Arial"/>
              </w:rPr>
            </w:pPr>
            <w:r w:rsidRPr="00853A24">
              <w:rPr>
                <w:rFonts w:ascii="Arial" w:hAnsi="Arial" w:cs="Arial"/>
              </w:rPr>
              <w:t>Plan’s Form 5500:</w:t>
            </w:r>
          </w:p>
        </w:tc>
        <w:tc>
          <w:tcPr>
            <w:tcW w:w="5485" w:type="dxa"/>
          </w:tcPr>
          <w:p w14:paraId="5CFA150D" w14:textId="783332E3" w:rsidR="00871C7B" w:rsidRPr="00853A24" w:rsidRDefault="00871C7B" w:rsidP="00853A24">
            <w:pPr>
              <w:pStyle w:val="NoSpacing"/>
              <w:jc w:val="both"/>
              <w:rPr>
                <w:rFonts w:ascii="Arial" w:hAnsi="Arial" w:cs="Arial"/>
              </w:rPr>
            </w:pPr>
            <w:r w:rsidRPr="00853A24">
              <w:rPr>
                <w:rFonts w:ascii="Arial" w:hAnsi="Arial" w:cs="Arial"/>
                <w:b/>
                <w:bCs/>
              </w:rPr>
              <w:t>Plan</w:t>
            </w:r>
            <w:r w:rsidR="004D73EE" w:rsidRPr="00853A24">
              <w:rPr>
                <w:rFonts w:ascii="Arial" w:hAnsi="Arial" w:cs="Arial"/>
                <w:b/>
                <w:bCs/>
              </w:rPr>
              <w:t xml:space="preserve"> years ended December 31, 20</w:t>
            </w:r>
            <w:r w:rsidR="005231E6" w:rsidRPr="00853A24">
              <w:rPr>
                <w:rFonts w:ascii="Arial" w:hAnsi="Arial" w:cs="Arial"/>
                <w:b/>
                <w:bCs/>
              </w:rPr>
              <w:t>2</w:t>
            </w:r>
            <w:r w:rsidR="00BC226D">
              <w:rPr>
                <w:rFonts w:ascii="Arial" w:hAnsi="Arial" w:cs="Arial"/>
                <w:b/>
                <w:bCs/>
              </w:rPr>
              <w:t>2</w:t>
            </w:r>
            <w:r w:rsidR="004D73EE" w:rsidRPr="00853A24">
              <w:rPr>
                <w:rFonts w:ascii="Arial" w:hAnsi="Arial" w:cs="Arial"/>
                <w:b/>
                <w:bCs/>
              </w:rPr>
              <w:t xml:space="preserve"> and prior are publicly available. We anticipate the plan year</w:t>
            </w:r>
            <w:r w:rsidR="004D73EE" w:rsidRPr="00853A24">
              <w:rPr>
                <w:rFonts w:ascii="Arial" w:hAnsi="Arial" w:cs="Arial"/>
              </w:rPr>
              <w:t xml:space="preserve"> </w:t>
            </w:r>
            <w:r w:rsidR="004D73EE" w:rsidRPr="00853A24">
              <w:rPr>
                <w:rFonts w:ascii="Arial" w:hAnsi="Arial" w:cs="Arial"/>
                <w:b/>
                <w:bCs/>
              </w:rPr>
              <w:t>ended December 31, 20</w:t>
            </w:r>
            <w:r w:rsidR="001B3510" w:rsidRPr="00853A24">
              <w:rPr>
                <w:rFonts w:ascii="Arial" w:hAnsi="Arial" w:cs="Arial"/>
                <w:b/>
                <w:bCs/>
              </w:rPr>
              <w:t>2</w:t>
            </w:r>
            <w:r w:rsidR="00BC226D">
              <w:rPr>
                <w:rFonts w:ascii="Arial" w:hAnsi="Arial" w:cs="Arial"/>
                <w:b/>
                <w:bCs/>
              </w:rPr>
              <w:t>3</w:t>
            </w:r>
            <w:r w:rsidR="004D73EE" w:rsidRPr="00853A24">
              <w:rPr>
                <w:rFonts w:ascii="Arial" w:hAnsi="Arial" w:cs="Arial"/>
                <w:b/>
                <w:bCs/>
              </w:rPr>
              <w:t xml:space="preserve"> to be available prior to October 15, 20</w:t>
            </w:r>
            <w:r w:rsidR="00204510" w:rsidRPr="00853A24">
              <w:rPr>
                <w:rFonts w:ascii="Arial" w:hAnsi="Arial" w:cs="Arial"/>
                <w:b/>
                <w:bCs/>
              </w:rPr>
              <w:t>2</w:t>
            </w:r>
            <w:r w:rsidR="00BC226D">
              <w:rPr>
                <w:rFonts w:ascii="Arial" w:hAnsi="Arial" w:cs="Arial"/>
                <w:b/>
                <w:bCs/>
              </w:rPr>
              <w:t>4</w:t>
            </w:r>
            <w:r w:rsidR="004D73EE" w:rsidRPr="00853A24">
              <w:rPr>
                <w:rFonts w:ascii="Arial" w:hAnsi="Arial" w:cs="Arial"/>
                <w:b/>
                <w:bCs/>
              </w:rPr>
              <w:t>.</w:t>
            </w:r>
          </w:p>
        </w:tc>
      </w:tr>
    </w:tbl>
    <w:p w14:paraId="6EA31F1C" w14:textId="77777777" w:rsidR="00253B77" w:rsidRDefault="00253B77" w:rsidP="00853A24">
      <w:pPr>
        <w:jc w:val="both"/>
      </w:pPr>
    </w:p>
    <w:sectPr w:rsidR="00253B77" w:rsidSect="00253B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BA184" w14:textId="77777777" w:rsidR="00635705" w:rsidRDefault="00635705" w:rsidP="004E2FF4">
      <w:pPr>
        <w:spacing w:after="0" w:line="240" w:lineRule="auto"/>
      </w:pPr>
      <w:r>
        <w:separator/>
      </w:r>
    </w:p>
  </w:endnote>
  <w:endnote w:type="continuationSeparator" w:id="0">
    <w:p w14:paraId="34910D94" w14:textId="77777777" w:rsidR="00635705" w:rsidRDefault="00635705" w:rsidP="004E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69125" w14:textId="77777777" w:rsidR="00635705" w:rsidRDefault="00635705" w:rsidP="004E2FF4">
      <w:pPr>
        <w:spacing w:after="0" w:line="240" w:lineRule="auto"/>
      </w:pPr>
      <w:r>
        <w:separator/>
      </w:r>
    </w:p>
  </w:footnote>
  <w:footnote w:type="continuationSeparator" w:id="0">
    <w:p w14:paraId="50887389" w14:textId="77777777" w:rsidR="00635705" w:rsidRDefault="00635705" w:rsidP="004E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D45A2" w14:textId="77777777" w:rsidR="00392482" w:rsidRDefault="00392482">
    <w:pPr>
      <w:pStyle w:val="Header"/>
    </w:pPr>
    <w:r w:rsidRPr="00F15F69">
      <w:rPr>
        <w:noProof/>
      </w:rPr>
      <w:drawing>
        <wp:inline distT="0" distB="0" distL="0" distR="0" wp14:anchorId="7E415727" wp14:editId="2BB9770B">
          <wp:extent cx="2455164" cy="1083564"/>
          <wp:effectExtent l="19050" t="0" r="2286" b="0"/>
          <wp:docPr id="2" name="Picture 0" descr="IATSE NBF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TSE NBF logo (new).jpg"/>
                  <pic:cNvPicPr/>
                </pic:nvPicPr>
                <pic:blipFill>
                  <a:blip r:embed="rId1" cstate="print"/>
                  <a:stretch>
                    <a:fillRect/>
                  </a:stretch>
                </pic:blipFill>
                <pic:spPr>
                  <a:xfrm>
                    <a:off x="0" y="0"/>
                    <a:ext cx="2455164" cy="1083564"/>
                  </a:xfrm>
                  <a:prstGeom prst="rect">
                    <a:avLst/>
                  </a:prstGeom>
                </pic:spPr>
              </pic:pic>
            </a:graphicData>
          </a:graphic>
        </wp:inline>
      </w:drawing>
    </w:r>
  </w:p>
  <w:p w14:paraId="19B53A4F" w14:textId="77777777" w:rsidR="00392482" w:rsidRDefault="00392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45"/>
    <w:rsid w:val="0003209D"/>
    <w:rsid w:val="00081E00"/>
    <w:rsid w:val="00104CFE"/>
    <w:rsid w:val="00131B36"/>
    <w:rsid w:val="001B09D0"/>
    <w:rsid w:val="001B3510"/>
    <w:rsid w:val="001E32D2"/>
    <w:rsid w:val="00204510"/>
    <w:rsid w:val="00204963"/>
    <w:rsid w:val="002450DD"/>
    <w:rsid w:val="00253B77"/>
    <w:rsid w:val="0026442F"/>
    <w:rsid w:val="0033611D"/>
    <w:rsid w:val="00391083"/>
    <w:rsid w:val="00392482"/>
    <w:rsid w:val="003D2364"/>
    <w:rsid w:val="003D6DB9"/>
    <w:rsid w:val="003D767F"/>
    <w:rsid w:val="003E76BC"/>
    <w:rsid w:val="003F2F14"/>
    <w:rsid w:val="00440957"/>
    <w:rsid w:val="00445A89"/>
    <w:rsid w:val="00460D89"/>
    <w:rsid w:val="00465548"/>
    <w:rsid w:val="004D73EE"/>
    <w:rsid w:val="004E2FF4"/>
    <w:rsid w:val="004F3CFD"/>
    <w:rsid w:val="005231E6"/>
    <w:rsid w:val="00541ECD"/>
    <w:rsid w:val="00583F7A"/>
    <w:rsid w:val="005C7EA8"/>
    <w:rsid w:val="005F3996"/>
    <w:rsid w:val="006037A2"/>
    <w:rsid w:val="00622727"/>
    <w:rsid w:val="00635705"/>
    <w:rsid w:val="00680F5F"/>
    <w:rsid w:val="00686988"/>
    <w:rsid w:val="006D21CF"/>
    <w:rsid w:val="00747D1A"/>
    <w:rsid w:val="00775882"/>
    <w:rsid w:val="007A3B07"/>
    <w:rsid w:val="007C5FE2"/>
    <w:rsid w:val="007C6A3E"/>
    <w:rsid w:val="00853A24"/>
    <w:rsid w:val="00862F21"/>
    <w:rsid w:val="00871C7B"/>
    <w:rsid w:val="008C3859"/>
    <w:rsid w:val="008D646F"/>
    <w:rsid w:val="008E5C49"/>
    <w:rsid w:val="008F43E6"/>
    <w:rsid w:val="00925CDC"/>
    <w:rsid w:val="009445FD"/>
    <w:rsid w:val="009C3D98"/>
    <w:rsid w:val="00A20233"/>
    <w:rsid w:val="00A21917"/>
    <w:rsid w:val="00A439CC"/>
    <w:rsid w:val="00A50045"/>
    <w:rsid w:val="00A520A7"/>
    <w:rsid w:val="00AD2295"/>
    <w:rsid w:val="00AE6149"/>
    <w:rsid w:val="00B657BB"/>
    <w:rsid w:val="00BC226D"/>
    <w:rsid w:val="00BD5971"/>
    <w:rsid w:val="00C1441C"/>
    <w:rsid w:val="00C3519D"/>
    <w:rsid w:val="00C73D7F"/>
    <w:rsid w:val="00C77E39"/>
    <w:rsid w:val="00CD7FAF"/>
    <w:rsid w:val="00CF7D1C"/>
    <w:rsid w:val="00D3219E"/>
    <w:rsid w:val="00DE2856"/>
    <w:rsid w:val="00DF0391"/>
    <w:rsid w:val="00E643AD"/>
    <w:rsid w:val="00EA52CB"/>
    <w:rsid w:val="00EC74BE"/>
    <w:rsid w:val="00F021AD"/>
    <w:rsid w:val="00F15F69"/>
    <w:rsid w:val="00F16204"/>
    <w:rsid w:val="00F43AA6"/>
    <w:rsid w:val="00F575A8"/>
    <w:rsid w:val="00F60A67"/>
    <w:rsid w:val="00FB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88A1C"/>
  <w15:docId w15:val="{3E9A85B0-BCF7-4752-A355-638E36BE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04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FF4"/>
    <w:rPr>
      <w:rFonts w:ascii="Calibri" w:eastAsia="Times New Roman" w:hAnsi="Calibri" w:cs="Times New Roman"/>
    </w:rPr>
  </w:style>
  <w:style w:type="paragraph" w:styleId="Footer">
    <w:name w:val="footer"/>
    <w:basedOn w:val="Normal"/>
    <w:link w:val="FooterChar"/>
    <w:uiPriority w:val="99"/>
    <w:semiHidden/>
    <w:unhideWhenUsed/>
    <w:rsid w:val="004E2F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2FF4"/>
    <w:rPr>
      <w:rFonts w:ascii="Calibri" w:eastAsia="Times New Roman" w:hAnsi="Calibri" w:cs="Times New Roman"/>
    </w:rPr>
  </w:style>
  <w:style w:type="table" w:styleId="TableGrid">
    <w:name w:val="Table Grid"/>
    <w:basedOn w:val="TableNormal"/>
    <w:uiPriority w:val="59"/>
    <w:rsid w:val="00F02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F69"/>
    <w:rPr>
      <w:rFonts w:ascii="Tahoma" w:eastAsia="Times New Roman" w:hAnsi="Tahoma" w:cs="Tahoma"/>
      <w:sz w:val="16"/>
      <w:szCs w:val="16"/>
    </w:rPr>
  </w:style>
  <w:style w:type="paragraph" w:styleId="NoSpacing">
    <w:name w:val="No Spacing"/>
    <w:uiPriority w:val="1"/>
    <w:qFormat/>
    <w:rsid w:val="009C3D9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B647D-6A4F-4B3C-98E5-002A9DB6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james.heinzman</dc:creator>
  <cp:lastModifiedBy>Rosalina Roldan</cp:lastModifiedBy>
  <cp:revision>3</cp:revision>
  <cp:lastPrinted>2023-05-12T15:19:00Z</cp:lastPrinted>
  <dcterms:created xsi:type="dcterms:W3CDTF">2024-06-25T13:08:00Z</dcterms:created>
  <dcterms:modified xsi:type="dcterms:W3CDTF">2024-06-26T14:11:00Z</dcterms:modified>
</cp:coreProperties>
</file>